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250</w:t>
      </w:r>
    </w:p>
    <w:p>
      <w:r>
        <w:t>Bundesgericht (BGE), 2006-03-06, DE</w:t>
      </w:r>
    </w:p>
    <w:p>
      <w:r>
        <w:rPr>
          <w:b/>
        </w:rPr>
        <w:t xml:space="preserve">Quelle: </w:t>
      </w:r>
      <w:r>
        <w:t>https://mcp.opencaselaw.ch/entscheid/bge_132 II 250</w:t>
      </w:r>
    </w:p>
    <w:p>
      <w:r>
        <w:t>FR: ATF 132 II 250</w:t>
      </w:r>
    </w:p>
    <w:p>
      <w:r>
        <w:t>IT: DTF 132 II 250</w:t>
      </w:r>
    </w:p>
    <w:p>
      <w:pPr>
        <w:pStyle w:val="Heading2"/>
      </w:pPr>
      <w:r>
        <w:t>Regeste</w:t>
      </w:r>
    </w:p>
    <w:p>
      <w:r>
        <w:t>Regeste Art. 103 lit. a OG; Disziplinaraufsicht über die Rechtsanwälte; keine Legitimation des Anzeigers zur Verwaltungsgerichtsbeschwerde. Der Anzeiger hat auch dann, wenn der angebliche Verstoss gegen die Berufspflichten noch andauert, kein schutzwürdiges Interesse an einer Disziplinierung des Rechtsanwalts, weil die Aufsichtsbehörde nicht direkt in ein laufendes Mandat eingreifen kann.</w:t>
      </w:r>
    </w:p>
    <w:p>
      <w:pPr>
        <w:pStyle w:val="Heading2"/>
      </w:pPr>
      <w:r>
        <w:t>Erwägungen</w:t>
      </w:r>
    </w:p>
    <w:p>
      <w:r>
        <w:rPr>
          <w:b/>
        </w:rPr>
        <w:t>E. 2</w:t>
      </w:r>
    </w:p>
    <w:p>
      <w:r>
        <w:t>Der Beschwerdeführer sieht die Disziplinwidrigkeit im Umstand, dass die beschuldigten Rechtsanwälte als Vertreter der Klinik S. AG und der Klinik T. AG einen Schadenersatzprozess gegen ihn vor dem Zürcher Obergericht führen. Die entsprechende Forderungsklage wurde am 23. April 2003 und damit nach Inkrafttreten des Bundesgesetzes vom 23. Juni 2000 über die Freizügigkeit der Anwältinnen und Anwälte (BGFA; SR 935.61) eingereicht. Ob ein Disziplinarverstoss vorliegt, beurteilt sich deshalb nach den einschlägigen Bestimmungen dieses Gesetzes, so dass der letztinstanzliche kantonale Entscheid grundsätzlich der Verwaltungsgerichtsbeschwerde unterliegt (vgl. BGE 129 II 297 E. 1.1 S. 299). Dementsprechend sind die Eingaben des Beschwerdeführers als Verwaltungsgerichtsbeschwerden entgegen zu nehmen.</w:t>
      </w:r>
    </w:p>
    <w:p>
      <w:r>
        <w:rPr>
          <w:b/>
        </w:rPr>
        <w:t>E. 3</w:t>
      </w:r>
    </w:p>
    <w:p>
      <w:r>
        <w:t>Auf die direkt gegen den Entscheid der Aufsichtskommission über die Rechtsanwälte eingereichte erste Beschwerde (2A.604/2004) BGE 132 II 250 S. 253 ist allerdings mangels Erschöpfung des kantonalen Instanzenzugs nicht einzutreten: Das kantonale Recht hat für Disziplinarentscheide der Aufsichtsbehörde eine Rekursmöglichkeit an eine Gerichtsbehörde zur Verfügung zu stellen. Art. 98a OG verpflichtet die Kantone für Streitigkeiten, in denen die Verwaltungsgerichtsbeschwerde ans Bundesgericht zulässig ist, zur Bestellung "richterlicher Behörden" als letzte kantonale Instanz. Der Kanton Zürich hat eine entsprechende Rekursmöglichkeit eingerichtet; bis Ende 2004 konnte insoweit an die Verwaltungskommission des Obergerichts gelangt werden (§ 7 der Verordnung vom 15. Mai 2002 betreffend die Anpassung des kantonalen Rechts an das eidgenössische Anwaltsgesetz), während seit dem 1. Januar 2005 nunmehr das Verwaltungsgericht zuständig ist (§ 38 des neuen Zürcher Anwaltsgesetzes vom 17. November 2003 [AnwG/ZH]). Erst Entscheide dieser Behörden stellen Gerichtsentscheide im Sinne von Art. 98a OG dar, die Anfechtungsobjekt einer Verwaltungsgerichtsbeschwerde ans Bundesgericht bilden können. Dieses Rechtsmittel steht nach dem Gesagten gegen Entscheide unterer Instanzen nicht zur Verfügung, wobei die Pflicht zur Erschöpfung des Instanzenzugs auch dann gilt, wenn die vom Beschwerdeführer beanspruchte Legitimation zweifelhaft ist oder - wie hier - gemäss Formulierung der Rechtsmittelbelehrung nicht gegeben wäre.</w:t>
      </w:r>
    </w:p>
    <w:p>
      <w:r>
        <w:rPr>
          <w:b/>
        </w:rPr>
        <w:t>E. 4</w:t>
      </w:r>
    </w:p>
    <w:p>
      <w:r>
        <w:t>Grundsätzlich zulässig ist demgegenüber die zweite, gegen das Urteil der Verwaltungskommission des Obergerichts erhobene Beschwerde (2A.447/2005). Zwar stützt sich der angefochtene Nichteintretensentscheid auf kantonales Verfahrensrecht. Er könnte jedoch die richtige Anwendung des Bundesrechts vereiteln, falls das Vorliegen einer nach dem eidgenössischen Anwaltsgesetz zu ahndenden Disziplinarwidrigkeit zu Unrecht verneint worden sein sollte; deshalb steht der Weg der Verwaltungsgerichtsbeschwerde offen (vgl. BGE 127 II 264 E. 1a S. 267).</w:t>
      </w:r>
    </w:p>
    <w:p>
      <w:r>
        <w:rPr>
          <w:b/>
        </w:rPr>
        <w:t>E. 4.1</w:t>
      </w:r>
    </w:p>
    <w:p>
      <w:r>
        <w:t>Im vorliegenden bundesgerichtlichen Verfahren ist einzig die Frage der Legitimation des Beschwerdeführers zu prüfen: Ist dieser nach Art. 103 lit. a OG zur Verwaltungsgerichtsbeschwerde gegen die unterbliebene Disziplinierung berechtigt, hätte ihm die kantonale Rechtsmittelinstanz aufgrund von Art. 98a OG die Legitimation zum Rekurs ihrerseits nicht absprechen dürfen. In diesem Falle wäre der angefochtene Nichteintretensentscheid schon wegen Verletzung von Art. 98a OG aufzuheben und die Sache zur materiellen Beurteilung ans Zürcher Obergericht zurückzuweisen. Fehlt dem BGE 132 II 250 S. 254 Beschwerdeführer dagegen das nach Art. 103 lit. a OG erforderliche schutzwürdige Interesse an der (materiellen) Anfechtung des Disziplinarentscheids, kann das Bundesgericht auf diesen Streitpunkt nicht eintreten; es fällt diesfalls - mangels Erfüllung der strengeren Legitimationsvorschrift von Art. 88 OG - zum Vornherein auch die Anhandnahme der Eingabe als staatsrechtliche Beschwerde ausser Betracht.</w:t>
      </w:r>
    </w:p>
    <w:p>
      <w:r>
        <w:rPr>
          <w:b/>
        </w:rPr>
        <w:t>E. 4.2</w:t>
      </w:r>
    </w:p>
    <w:p>
      <w:r>
        <w:t>Zunächst ist auf die publizierte Rechtsprechung zu verweisen: Gemäss dieser hat der Einzelne grundsätzlich kein schutzwürdiges, auf dem Weg der Verwaltungsgerichtsbeschwerde durchsetzbares Interesse daran, dass die Aufsichtsbehörde gegen einen beschuldigten Rechtsanwalt ein Disziplinarverfahren eröffnet oder eine Disziplinarsanktion ausfällt ( BGE 129 II 297 E. 3.1 S. 302 f.). Vorbehalten wurde lediglich der Fall, in dem die zur Ausübung der Aufsicht verpflichtete Behörde eine vom Anzeiger beantragte Aufsichtsmassnahme ablehnt, an welcher dieser ein konkretes Interesse hat; hiefür wurde auf ein Beispiel aus dem Bereich der Bankenaufsicht (vgl. BGE 120 Ib 351 E. 3b S. 355) hingewiesen.</w:t>
      </w:r>
    </w:p>
    <w:p>
      <w:r>
        <w:rPr>
          <w:b/>
        </w:rPr>
        <w:t>E. 4.3</w:t>
      </w:r>
    </w:p>
    <w:p>
      <w:r>
        <w:t>Der Beschwerdeführer verlangte in seiner Anzeige nicht die Ausfällung einer Disziplinarsanktion, sondern das Ergreifen der "notwendigen Schritte" zur Beseitigung der angeblichen Doppelvertretung. Hierauf nimmt das Obergericht im angefochtenen Entscheid Bezug und betont, es gehe im anwaltsrechtlichen Disziplinarverfahren nicht um aufsichtsrechtliche Verhaltensanweisungen an den Rechtsanwalt, wie dieser ein laufendes Mandat zu führen habe, sondern ausschliesslich um die nachträgliche disziplinarische Sanktionierung behaupteter Verstösse gegen die Berufspflichten.</w:t>
      </w:r>
    </w:p>
    <w:p>
      <w:r>
        <w:rPr>
          <w:b/>
        </w:rPr>
        <w:t>E. 4.3.1</w:t>
      </w:r>
    </w:p>
    <w:p>
      <w:r>
        <w:t>In der Tat sieht das eidgenössische Anwaltsgesetz, welches das Disziplinarrecht abschliessend regelt ( BGE 129 II 297 E. 1.1 S. 299), einzig die in Art. 17 genannten Sanktionen vor. Zwar kann das kantonale Recht der Aufsichtsbehörde zusätzliche Aufsichtsmittel zur Verfügung stellen (vgl. TOMAS POLEDNA, in: Fellmann/Zindel [Hrsg.], Kommentar zum Anwaltsgesetz, Zürich 2005, N. 9 zu Art. 14 BGFA ). Ob und inwieweit eine kantonale Vorschrift zulässig wäre, welche die zuständige Aufsichtsbehörde gegenüber einem Rechtsanwalt zu konkreten Anweisungen für die Art und Weise der Führung eines bestimmten Mandats ermächtigt, bedarf hier aber keiner weiteren Prüfung. Der Beschwerdeführer beruft sich nicht auf eine entsprechende kantonale Norm, und das Zürcher BGE 132 II 250 S. 255 Anwaltsgesetz scheint auch keine solche zu kennen (vgl. § 13 f. und § 21 AnwG/ZH). Damit kann die Aufsichtsbehörde das Verhalten des Anwalts nur indirekt lenken, indem sie ihn für begangene Disziplinarverstösse nachträglich gemäss Art. 17 BGFA sanktioniert. Ihre Rolle ist deshalb wesentlich verschieden etwa von jener der Eidgenössischen Bankenkommission, welche zur aktiven Kontrolle der ihr unterworfenen Einrichtungen verpflichtet ist und über entsprechend weitreichende, spezialgesetzlich normierte Eingriffsmöglichkeiten verfügt: Die Bankenkommission hat, wenn sie von Verstössen gegen das Gesetz oder von sonstigen Missständen Kenntnis erhält, nicht nur Sanktionen zu ergreifen, sondern auch für die Wiederherstellung des ordnungsgemässen Zustands zu sorgen. Zu diesem Zweck ist sie gemäss Art. 23 ter Abs. 1 des Bundesgesetzes vom 8. November 1934 über die Banken und Sparkassen (BankG; SR 952.0) ausdrücklich befugt, alle "notwendigen Verfügungen" zu treffen (vgl. hierzu BGE 130 II 351 E. 2.1 S. 354).</w:t>
      </w:r>
    </w:p>
    <w:p>
      <w:r>
        <w:rPr>
          <w:b/>
        </w:rPr>
        <w:t>E. 4.3.2</w:t>
      </w:r>
    </w:p>
    <w:p>
      <w:r>
        <w:t>Entgegen der Auffassung des Beschwerdeführers liegt mithin kein Fall vor, in welchem ihm als Anzeiger ein schutzwürdiges, zur Beschwerdeführung legitimierendes Interesse zukommt. Zwar würde zumindest bei Rechtsanwalt C. die behauptete Doppelvertretung wohl noch andauern, falls der Schadenersatzprozess zwischen dem Beschwerdeführer und den Kliniken noch nicht rechtskräftig beendet ist. Es besteht nach dem Gesagten aber so oder anders keine Möglichkeit für die Aufsichtsbehörde, direkt in ein laufendes Mandat einzugreifen.</w:t>
      </w:r>
    </w:p>
    <w:p>
      <w:r>
        <w:rPr>
          <w:b/>
        </w:rPr>
        <w:t>E. 4.4</w:t>
      </w:r>
    </w:p>
    <w:p>
      <w:r>
        <w:t>Dem Anzeiger bleibt es unbenommen, mit Mitteln des Zivil- oder Strafrechts selbst gegen den beschuldigten Rechtsanwalt vorzugehen, wenn die angegangene Aufsichtsbehörde die Eröffnung eines Disziplinarverfahrens oder die Ausfällung einer Sanktion ablehnt. Weil das anwaltsrechtliche Disziplinarverfahren dem allgemeinen öffentlichen Interesse an der korrekten Berufsausübung durch die Rechtsanwälte dient und nicht die Wahrung individueller privater Anliegen sichern soll, ist der Anzeiger nicht im Sinne von Art. 103 lit. a OG in schutzwürdigen eigenen Interessen betroffen und kann deshalb nicht auf dem Beschwerdeweg eine Intervention der Aufsichtsbehörde verlangen. Es widerspricht weder den Vorgaben des eidgenössischen Anwaltsgesetzes noch den verfassungsrechtlichen Anforderungen an ein faires Verfahren, wenn das Obergericht dem Beschwerdeführer die Legitimation zur Anfechtung des abschlägigen Disziplinarentscheids abgesprochen hat. BGE 132 II 250 S. 256 Ferner wird in der Beschwerde nicht dargetan, dass das Vorgehen der kantonalen Behörde in willkürlicher Weise gegen kantonales Verfahrensrecht verstosse. Soweit der Beschwerdeführer beanstandet, dass ihm die Kosten des kantonalen Verfahrens auferlegt worden sind und er den Beschuldigten je eine Parteientschädigung zu bezahlen hat, fehlt es an einer rechtsgenüglichen Begründung für diese Rüge; auf die entsprechenden Vorbringen ist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